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350E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At Skin Theory Aesthetic Medicine, all services and products are selected, scheduled, and prepared specifically for each patient. Because of the personalized nature of aesthetic treatments and medical-grade products, </w:t>
      </w:r>
      <w:r w:rsidRPr="00AF7F9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we do not offer refunds</w:t>
      </w: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10822192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B4E9C74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Services</w:t>
      </w:r>
    </w:p>
    <w:p w14:paraId="41D4F3BE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 </w:t>
      </w:r>
      <w:r w:rsidRPr="00AF7F9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All services are non-refundable</w:t>
      </w: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, including but not limited to aesthetic treatments, injectables, lasers, facials, and packages</w:t>
      </w:r>
    </w:p>
    <w:p w14:paraId="2197A58E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 Results can vary based on individual response, biology, and adherence to post-care instructions; therefore, dissatisfaction with results does not qualify for a refund</w:t>
      </w:r>
    </w:p>
    <w:p w14:paraId="51B6F0C8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 Missed appointments, late cancellations, or no-shows are subject to our cancellation/no-show policy</w:t>
      </w:r>
    </w:p>
    <w:p w14:paraId="72400B56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DFFC48D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Packages &amp; Prepaid Services</w:t>
      </w:r>
    </w:p>
    <w:p w14:paraId="782414AF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 </w:t>
      </w:r>
      <w:r w:rsidRPr="00AF7F9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Packages and prepaid services are non-refundable</w:t>
      </w:r>
    </w:p>
    <w:p w14:paraId="1B3A7802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 Unused portions of packages </w:t>
      </w:r>
      <w:r w:rsidRPr="00AF7F9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may be converted to account credit at Skin Theory’s discretion as a courtesy</w:t>
      </w:r>
    </w:p>
    <w:p w14:paraId="2D1AB713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 Account credit:</w:t>
      </w:r>
    </w:p>
    <w:p w14:paraId="74EE1F47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 Has no cash value</w:t>
      </w:r>
    </w:p>
    <w:p w14:paraId="6E32DCA7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 Cannot be refunded or transferred</w:t>
      </w:r>
    </w:p>
    <w:p w14:paraId="3047E83B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 Must be used toward services or products offered by Skin Theory Aesthetic Medicine</w:t>
      </w:r>
    </w:p>
    <w:p w14:paraId="51A4F91F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0F6045C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Products</w:t>
      </w:r>
    </w:p>
    <w:p w14:paraId="39121F0E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 </w:t>
      </w:r>
      <w:r w:rsidRPr="00AF7F9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All retail product sales are final</w:t>
      </w:r>
    </w:p>
    <w:p w14:paraId="073E2991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 We cannot accept returns or exchanges once products have left the office due to safety and regulatory standards</w:t>
      </w:r>
    </w:p>
    <w:p w14:paraId="76CD4C1B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CED9CFF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Financing &amp; Third-Party Payments</w:t>
      </w:r>
    </w:p>
    <w:p w14:paraId="02ACBFC7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 xml:space="preserve">• Payments made through third-party financing companies (e.g., Cherry, CareCredit, </w:t>
      </w:r>
      <w:proofErr w:type="spellStart"/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PatientFi</w:t>
      </w:r>
      <w:proofErr w:type="spellEnd"/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, HSA/FSA cards) remain subject to this no-refund policy</w:t>
      </w:r>
    </w:p>
    <w:p w14:paraId="3845E04D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 Financing disputes must be addressed directly with the financing provider</w:t>
      </w:r>
    </w:p>
    <w:p w14:paraId="6BBACDDA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87819E8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Our Commitment to Patient Care</w:t>
      </w:r>
    </w:p>
    <w:p w14:paraId="3286C0E9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 xml:space="preserve">While refunds are not offered, our priority is patient safety, education, and satisfaction. If concerns arise, our team is always happy </w:t>
      </w:r>
      <w:proofErr w:type="gramStart"/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to</w:t>
      </w:r>
      <w:proofErr w:type="gramEnd"/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76A36636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 Re-evaluate your treatment plan</w:t>
      </w:r>
    </w:p>
    <w:p w14:paraId="75950EF7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 Provide education on expected outcomes and timelines</w:t>
      </w:r>
    </w:p>
    <w:p w14:paraId="726C028D" w14:textId="77777777" w:rsidR="00AF7F92" w:rsidRPr="00AF7F92" w:rsidRDefault="00AF7F92" w:rsidP="00AF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7F92">
        <w:rPr>
          <w:rFonts w:ascii="Arial" w:eastAsia="Times New Roman" w:hAnsi="Arial" w:cs="Arial"/>
          <w:color w:val="222222"/>
          <w:kern w:val="0"/>
          <w14:ligatures w14:val="none"/>
        </w:rPr>
        <w:t>• Recommend alternative treatments when appropriate</w:t>
      </w:r>
    </w:p>
    <w:p w14:paraId="650F2724" w14:textId="77777777" w:rsidR="00AF7F92" w:rsidRDefault="00AF7F92"/>
    <w:sectPr w:rsidR="00AF7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92"/>
    <w:rsid w:val="001B4A73"/>
    <w:rsid w:val="002E4476"/>
    <w:rsid w:val="00AF7F92"/>
    <w:rsid w:val="00B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FF25"/>
  <w15:chartTrackingRefBased/>
  <w15:docId w15:val="{E0CE792B-917B-49BB-ABA0-829C8BD0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1473</Characters>
  <Application>Microsoft Office Word</Application>
  <DocSecurity>0</DocSecurity>
  <Lines>37</Lines>
  <Paragraphs>23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King</dc:creator>
  <cp:keywords/>
  <dc:description/>
  <cp:lastModifiedBy>Stephanie King</cp:lastModifiedBy>
  <cp:revision>3</cp:revision>
  <dcterms:created xsi:type="dcterms:W3CDTF">2026-01-07T15:10:00Z</dcterms:created>
  <dcterms:modified xsi:type="dcterms:W3CDTF">2026-01-07T15:10:00Z</dcterms:modified>
</cp:coreProperties>
</file>